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C" w:rsidRPr="003F544A" w:rsidRDefault="00C6111C">
      <w:pPr>
        <w:rPr>
          <w:rFonts w:ascii="Tahoma" w:hAnsi="Tahoma" w:cs="Tahoma"/>
          <w:sz w:val="22"/>
          <w:lang w:val="en-US"/>
        </w:rPr>
      </w:pPr>
    </w:p>
    <w:p w:rsidR="000D46E6" w:rsidRPr="003F544A" w:rsidRDefault="003F544A">
      <w:pPr>
        <w:rPr>
          <w:rFonts w:ascii="Tahoma" w:hAnsi="Tahoma" w:cs="Tahoma"/>
          <w:sz w:val="22"/>
          <w:lang w:val="uk-UA"/>
        </w:rPr>
      </w:pPr>
      <w:r>
        <w:rPr>
          <w:rFonts w:ascii="Tahoma" w:hAnsi="Tahoma" w:cs="Tahoma"/>
          <w:sz w:val="22"/>
          <w:lang w:val="uk-UA"/>
        </w:rPr>
        <w:t>ЗБІРКА БАЗОВИХ СТАНДАРТІВ ТА РЕКОМЕНДАЦІЙ, ЯКІ СТОСУЮТЬСЯ ОРГАНІЗАЦІЇ, ФУНКЦІОНУВАННЯ ТА ПОВНОВАЖЕНЬ ОРГАНІВ ПРОКУРАТУРИ</w:t>
      </w:r>
    </w:p>
    <w:p w:rsidR="000D46E6" w:rsidRPr="003F544A" w:rsidRDefault="000D46E6">
      <w:pPr>
        <w:rPr>
          <w:rFonts w:ascii="Tahoma" w:hAnsi="Tahoma" w:cs="Tahoma"/>
          <w:sz w:val="22"/>
          <w:lang w:val="ru-RU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7087"/>
        <w:gridCol w:w="6663"/>
      </w:tblGrid>
      <w:tr w:rsidR="000D46E6" w:rsidRPr="003F544A" w:rsidTr="00634F8F">
        <w:trPr>
          <w:trHeight w:val="59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E6" w:rsidRPr="003F544A" w:rsidRDefault="000D46E6" w:rsidP="000D46E6">
            <w:pPr>
              <w:jc w:val="center"/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6E6" w:rsidRPr="003F544A" w:rsidRDefault="000D46E6" w:rsidP="000D46E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Назва (англ./укр./рос.)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6E6" w:rsidRPr="003F544A" w:rsidRDefault="000D46E6" w:rsidP="000D46E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Файл</w:t>
            </w:r>
          </w:p>
        </w:tc>
      </w:tr>
      <w:tr w:rsidR="00553C38" w:rsidRPr="003F544A" w:rsidTr="00172187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C38" w:rsidRPr="003F544A" w:rsidRDefault="00553C38">
            <w:pPr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3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C38" w:rsidRPr="003F544A" w:rsidRDefault="00553C38" w:rsidP="00553C38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</w:p>
          <w:p w:rsidR="00553C38" w:rsidRPr="003F544A" w:rsidRDefault="00553C38" w:rsidP="00553C38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 xml:space="preserve">Узагальнення стандартів щодо </w:t>
            </w:r>
            <w:r w:rsidRPr="003F544A">
              <w:rPr>
                <w:rFonts w:ascii="Tahoma" w:hAnsi="Tahoma" w:cs="Tahoma"/>
                <w:sz w:val="22"/>
                <w:lang w:val="uk-UA"/>
              </w:rPr>
              <w:t>організації, функціонування та повноважень органів прокуратури</w:t>
            </w:r>
            <w:r w:rsidRPr="003F544A">
              <w:rPr>
                <w:rFonts w:ascii="Tahoma" w:hAnsi="Tahoma" w:cs="Tahoma"/>
                <w:sz w:val="22"/>
                <w:lang w:val="uk-UA"/>
              </w:rPr>
              <w:t xml:space="preserve"> </w:t>
            </w:r>
            <w:r w:rsidR="005B0A73">
              <w:rPr>
                <w:rFonts w:ascii="Tahoma" w:hAnsi="Tahoma" w:cs="Tahoma"/>
                <w:sz w:val="22"/>
                <w:lang w:val="uk-UA"/>
              </w:rPr>
              <w:t xml:space="preserve"> </w:t>
            </w:r>
            <w:bookmarkStart w:id="0" w:name="_GoBack"/>
            <w:bookmarkEnd w:id="0"/>
            <w:r w:rsidRPr="003F544A">
              <w:rPr>
                <w:rFonts w:ascii="Tahoma" w:hAnsi="Tahoma" w:cs="Tahoma"/>
                <w:sz w:val="22"/>
                <w:lang w:val="uk-UA"/>
              </w:rPr>
              <w:t>(загальні доповіді та дослідження)</w:t>
            </w:r>
          </w:p>
          <w:p w:rsidR="00553C38" w:rsidRPr="003F544A" w:rsidRDefault="00553C38" w:rsidP="00553C38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0D46E6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0D46E6" w:rsidRPr="003F544A" w:rsidRDefault="000D46E6">
            <w:pPr>
              <w:rPr>
                <w:rFonts w:ascii="Tahoma" w:hAnsi="Tahoma" w:cs="Tahoma"/>
                <w:sz w:val="22"/>
                <w:lang w:val="uk-UA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0D46E6" w:rsidRPr="003F544A" w:rsidRDefault="00286EC8" w:rsidP="00286EC8">
            <w:pPr>
              <w:rPr>
                <w:rFonts w:ascii="Tahoma" w:hAnsi="Tahoma" w:cs="Tahoma"/>
                <w:sz w:val="22"/>
                <w:lang w:val="ru-RU"/>
              </w:rPr>
            </w:pPr>
            <w:r w:rsidRPr="003F544A">
              <w:rPr>
                <w:rFonts w:ascii="Tahoma" w:hAnsi="Tahoma" w:cs="Tahoma"/>
                <w:sz w:val="22"/>
                <w:lang w:val="ru-RU"/>
              </w:rPr>
              <w:t>Обзор судебной практики Европейского суда по правам человека: роль прокурора при рассмотрении дел, не относящихся к сфере уголовного права (Европейский Суд по правам человека)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0D46E6" w:rsidRPr="003F544A" w:rsidRDefault="00F01FD5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Research_report_prosecutor_RUS.pdf</w:t>
            </w:r>
          </w:p>
        </w:tc>
      </w:tr>
      <w:tr w:rsidR="000D46E6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0D46E6" w:rsidRPr="003F544A" w:rsidRDefault="000D46E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5F367D" w:rsidRPr="003F544A" w:rsidRDefault="005F367D" w:rsidP="005F367D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Council of Europe Standards on Public Prosecutors</w:t>
            </w:r>
          </w:p>
          <w:p w:rsidR="000D46E6" w:rsidRPr="003F544A" w:rsidRDefault="005F367D" w:rsidP="005F367D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(</w:t>
            </w:r>
            <w:r w:rsidRPr="003F544A">
              <w:rPr>
                <w:rFonts w:ascii="Tahoma" w:hAnsi="Tahoma" w:cs="Tahoma"/>
                <w:sz w:val="22"/>
              </w:rPr>
              <w:t>Antonio Mura</w:t>
            </w:r>
            <w:r w:rsidRPr="003F544A">
              <w:rPr>
                <w:rFonts w:ascii="Tahoma" w:hAnsi="Tahoma" w:cs="Tahoma"/>
                <w:sz w:val="22"/>
              </w:rPr>
              <w:t xml:space="preserve">, </w:t>
            </w:r>
            <w:r w:rsidRPr="003F544A">
              <w:rPr>
                <w:rFonts w:ascii="Tahoma" w:hAnsi="Tahoma" w:cs="Tahoma"/>
                <w:sz w:val="22"/>
              </w:rPr>
              <w:t>President of the Consultative Council of European Prosecutors (CCPE)</w:t>
            </w:r>
            <w:r w:rsidRPr="003F544A">
              <w:rPr>
                <w:rFonts w:ascii="Tahoma" w:hAnsi="Tahoma" w:cs="Tahoma"/>
                <w:sz w:val="22"/>
              </w:rPr>
              <w:t xml:space="preserve">, </w:t>
            </w:r>
            <w:r w:rsidRPr="003F544A">
              <w:rPr>
                <w:rFonts w:ascii="Tahoma" w:hAnsi="Tahoma" w:cs="Tahoma"/>
                <w:sz w:val="22"/>
              </w:rPr>
              <w:t>Deputy Prosecutor General at the Italian Supreme Court</w:t>
            </w:r>
            <w:r w:rsidRPr="003F544A"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0D46E6" w:rsidRPr="003F544A" w:rsidRDefault="005F367D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COE Standards on Public Prosecutors (A. Mura - Moscow).pdf</w:t>
            </w:r>
          </w:p>
        </w:tc>
      </w:tr>
      <w:tr w:rsidR="00FE08C6" w:rsidRPr="003F544A" w:rsidTr="007F4645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Рекомендації</w:t>
            </w:r>
            <w:r w:rsidR="00553C38" w:rsidRPr="003F544A">
              <w:rPr>
                <w:rFonts w:ascii="Tahoma" w:hAnsi="Tahoma" w:cs="Tahoma"/>
                <w:sz w:val="22"/>
                <w:lang w:val="uk-UA"/>
              </w:rPr>
              <w:t xml:space="preserve"> Комітету Міністрів Ради Європи</w:t>
            </w:r>
          </w:p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8206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Recommendation Rec(2000)19</w:t>
            </w:r>
            <w:r w:rsidRPr="003F544A">
              <w:rPr>
                <w:rFonts w:ascii="Tahoma" w:hAnsi="Tahoma" w:cs="Tahoma"/>
                <w:sz w:val="22"/>
              </w:rPr>
              <w:t xml:space="preserve"> of the </w:t>
            </w:r>
            <w:r w:rsidRPr="003F544A">
              <w:rPr>
                <w:rFonts w:ascii="Tahoma" w:hAnsi="Tahoma" w:cs="Tahoma"/>
                <w:sz w:val="22"/>
              </w:rPr>
              <w:t>Council of Europe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Committee of Ministers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THE ROLE OF PUBLIC PROSECUTION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IN THE CRIMINAL JUSTICE SYSTEM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Rec(2000)19.pdf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3407E9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Recommendation CM/Rec(2012)11 of the Committee of Ministers to member States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role of public prosecutors outside the criminal justice system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CMRec(2012)11E.doc</w:t>
            </w:r>
          </w:p>
        </w:tc>
      </w:tr>
      <w:tr w:rsidR="00FE08C6" w:rsidRPr="003F544A" w:rsidTr="003E669A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Висновки Консультативної Ради Європейських Прокурорів</w:t>
            </w:r>
          </w:p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D93583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Opinion No 3(2008)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of the Consultative Council of European Prosecutors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THE ROLE OF PROSECUTION SERVICES OUTSIDE THE CRIMINAL LAW FIELD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CCPE Opinion 3 (2008)_en.pdf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29301A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 xml:space="preserve">Opinion </w:t>
            </w:r>
            <w:r w:rsidRPr="003F544A">
              <w:rPr>
                <w:rFonts w:ascii="Tahoma" w:hAnsi="Tahoma" w:cs="Tahoma"/>
                <w:sz w:val="22"/>
              </w:rPr>
              <w:t>No.12 (2009)</w:t>
            </w:r>
            <w:r w:rsidRPr="003F544A">
              <w:rPr>
                <w:rFonts w:ascii="Tahoma" w:hAnsi="Tahoma" w:cs="Tahoma"/>
                <w:sz w:val="22"/>
              </w:rPr>
              <w:t xml:space="preserve"> Of The Consultative Council Of European </w:t>
            </w:r>
            <w:r w:rsidRPr="003F544A">
              <w:rPr>
                <w:rFonts w:ascii="Tahoma" w:hAnsi="Tahoma" w:cs="Tahoma"/>
                <w:sz w:val="22"/>
              </w:rPr>
              <w:lastRenderedPageBreak/>
              <w:t xml:space="preserve">Judges (CCJE) and Opinion </w:t>
            </w:r>
            <w:r w:rsidRPr="003F544A">
              <w:rPr>
                <w:rFonts w:ascii="Tahoma" w:hAnsi="Tahoma" w:cs="Tahoma"/>
                <w:sz w:val="22"/>
              </w:rPr>
              <w:t>No.4 (2009)</w:t>
            </w:r>
            <w:r w:rsidRPr="003F544A">
              <w:rPr>
                <w:rFonts w:ascii="Tahoma" w:hAnsi="Tahoma" w:cs="Tahoma"/>
                <w:sz w:val="22"/>
              </w:rPr>
              <w:t xml:space="preserve"> Of The Consultative Council Of European Prosecutors (CCPE) </w:t>
            </w:r>
            <w:r w:rsidRPr="003F544A">
              <w:rPr>
                <w:rFonts w:ascii="Tahoma" w:hAnsi="Tahoma" w:cs="Tahoma"/>
                <w:sz w:val="22"/>
              </w:rPr>
              <w:t>ON THE RELATIONS BETWEEN JUDGES AND PROSECUTORS IN A DEMOCRATIC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SOCIETY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fr-FR"/>
              </w:rPr>
            </w:pPr>
            <w:r w:rsidRPr="003F544A">
              <w:rPr>
                <w:rFonts w:ascii="Tahoma" w:hAnsi="Tahoma" w:cs="Tahoma"/>
                <w:sz w:val="22"/>
                <w:lang w:val="fr-FR"/>
              </w:rPr>
              <w:lastRenderedPageBreak/>
              <w:t>Avis 12 CCJE et Avis 4 CCPE_en.pdf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fr-FR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 xml:space="preserve">Opinion </w:t>
            </w:r>
            <w:r w:rsidRPr="003F544A">
              <w:rPr>
                <w:rFonts w:ascii="Tahoma" w:hAnsi="Tahoma" w:cs="Tahoma"/>
                <w:sz w:val="22"/>
              </w:rPr>
              <w:t xml:space="preserve">(2012) No. 7 </w:t>
            </w:r>
            <w:r w:rsidRPr="003F544A">
              <w:rPr>
                <w:rFonts w:ascii="Tahoma" w:hAnsi="Tahoma" w:cs="Tahoma"/>
                <w:sz w:val="22"/>
              </w:rPr>
              <w:t xml:space="preserve">Of The Consultative Council Of European Prosecutors </w:t>
            </w:r>
            <w:r w:rsidRPr="003F544A">
              <w:rPr>
                <w:rFonts w:ascii="Tahoma" w:hAnsi="Tahoma" w:cs="Tahoma"/>
                <w:sz w:val="22"/>
              </w:rPr>
              <w:t>ON THE MANAGEMENT OF THE MEANS OF PROSECUTION SERVICES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CCPE Opinion 7 (2012).doc</w:t>
            </w:r>
          </w:p>
        </w:tc>
      </w:tr>
      <w:tr w:rsidR="00FE08C6" w:rsidRPr="003F544A" w:rsidTr="005A7832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  <w:lang w:val="fr-FR"/>
              </w:rPr>
            </w:pPr>
          </w:p>
        </w:tc>
        <w:tc>
          <w:tcPr>
            <w:tcW w:w="13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Висновки Венеціанської Комісії щодо проектів Законів України, що стосуються функцій прокуратури (базові)</w:t>
            </w: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uk-UA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6B20C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F544A">
              <w:rPr>
                <w:rFonts w:ascii="Tahoma" w:hAnsi="Tahoma" w:cs="Tahoma"/>
                <w:sz w:val="22"/>
                <w:szCs w:val="22"/>
              </w:rPr>
              <w:t>European Commission for Democracy Through Law (Venice Commission)</w:t>
            </w:r>
            <w:r w:rsidRPr="003F544A">
              <w:rPr>
                <w:rFonts w:ascii="Tahoma" w:hAnsi="Tahoma" w:cs="Tahoma"/>
                <w:sz w:val="22"/>
                <w:szCs w:val="22"/>
              </w:rPr>
              <w:t xml:space="preserve"> Directorate for Human Rights (DHR),</w:t>
            </w:r>
          </w:p>
          <w:p w:rsidR="007C4CC7" w:rsidRPr="003F544A" w:rsidRDefault="007C4CC7" w:rsidP="006B20C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3F544A">
              <w:rPr>
                <w:rFonts w:ascii="Tahoma" w:hAnsi="Tahoma" w:cs="Tahoma"/>
                <w:sz w:val="22"/>
                <w:szCs w:val="22"/>
              </w:rPr>
              <w:t xml:space="preserve">Directorate General for Human Rights and the rule of Law </w:t>
            </w:r>
            <w:r w:rsidRPr="003F544A">
              <w:rPr>
                <w:rFonts w:ascii="Tahoma" w:hAnsi="Tahoma" w:cs="Tahoma"/>
                <w:bCs/>
                <w:sz w:val="22"/>
                <w:szCs w:val="22"/>
              </w:rPr>
              <w:t xml:space="preserve">JOINT OPINION ON THE DRAFT LAW ON THE PUBLIC PROSECUTOR’S OFFICE OF UKRAINE </w:t>
            </w:r>
            <w:r w:rsidRPr="003F544A">
              <w:rPr>
                <w:rFonts w:ascii="Tahoma" w:hAnsi="Tahoma" w:cs="Tahoma"/>
                <w:bCs/>
                <w:sz w:val="22"/>
                <w:szCs w:val="22"/>
              </w:rPr>
              <w:t>(2013)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CDL-AD(2013)025.pdf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3F4B26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European Commission for Democracy Through Law (Venice Commission)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OPINION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DRAFT LAW ON THE PUBLIC PROSECUTOR’S OFFICE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OF UKRAINE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(PREPARED BY THE UKRAINIAN COMMISSION ON STRENGTHENING DEMOCRACY AND THE RULE OF LAW)</w:t>
            </w:r>
            <w:r w:rsidRPr="003F544A">
              <w:rPr>
                <w:rFonts w:ascii="Tahoma" w:hAnsi="Tahoma" w:cs="Tahoma"/>
                <w:sz w:val="22"/>
              </w:rPr>
              <w:t xml:space="preserve"> (2012)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CDL-AD(2012)019.pdf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uk-UA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D066E6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European Commission for Democracy Through Law (Venice Commission) OPINION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DRAFT LAW OF UKRAINE</w:t>
            </w:r>
          </w:p>
          <w:p w:rsidR="007C4CC7" w:rsidRPr="003F544A" w:rsidRDefault="007C4CC7" w:rsidP="00D066E6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ON THE OFFICE OF THE PUBLIC PROSECUTOR</w:t>
            </w:r>
            <w:r w:rsidRPr="003F544A">
              <w:rPr>
                <w:rFonts w:ascii="Tahoma" w:hAnsi="Tahoma" w:cs="Tahoma"/>
                <w:sz w:val="22"/>
              </w:rPr>
              <w:t xml:space="preserve"> (2009)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CDL-AD(2009)048.pdf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535854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European Commission for Democracy Through Law (Venice Commission)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OPINION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DRAFT LAW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AMENDING THE LAW OF UKRAINE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OFFICE OF THE PUBLIC PROSECUTOR</w:t>
            </w:r>
            <w:r w:rsidRPr="003F544A">
              <w:rPr>
                <w:rFonts w:ascii="Tahoma" w:hAnsi="Tahoma" w:cs="Tahoma"/>
                <w:sz w:val="22"/>
              </w:rPr>
              <w:t>S (2004)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CDL-AD(2004)038.pdf</w:t>
            </w:r>
          </w:p>
        </w:tc>
      </w:tr>
      <w:tr w:rsidR="00FE08C6" w:rsidRPr="003F544A" w:rsidTr="00C42A2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 xml:space="preserve">Загальні рекомендації та дослідження </w:t>
            </w:r>
            <w:r w:rsidRPr="003F544A">
              <w:rPr>
                <w:rFonts w:ascii="Tahoma" w:hAnsi="Tahoma" w:cs="Tahoma"/>
                <w:sz w:val="22"/>
                <w:lang w:val="uk-UA"/>
              </w:rPr>
              <w:t>Венеціанської Комісії</w:t>
            </w:r>
            <w:r w:rsidRPr="003F544A">
              <w:rPr>
                <w:rFonts w:ascii="Tahoma" w:hAnsi="Tahoma" w:cs="Tahoma"/>
                <w:sz w:val="22"/>
                <w:lang w:val="uk-UA"/>
              </w:rPr>
              <w:t xml:space="preserve"> у сфері організації, функціонування та повноважень органів прокуратури</w:t>
            </w:r>
          </w:p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uk-UA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 xml:space="preserve">European Commission for Democracy Through Law (Venice Commission) Report On </w:t>
            </w:r>
            <w:r w:rsidRPr="003F544A">
              <w:rPr>
                <w:rFonts w:ascii="Tahoma" w:hAnsi="Tahoma" w:cs="Tahoma"/>
                <w:sz w:val="22"/>
              </w:rPr>
              <w:t>EUROPEAN STANDARDS AS REGARDS THE INDEPENDENCE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OF THE JUDICIAL SYSTEM: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PART II – THE PROSECUTION SERVICE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CDL-AD(2010)040.pdf</w:t>
            </w:r>
          </w:p>
        </w:tc>
      </w:tr>
      <w:tr w:rsidR="007C4CC7" w:rsidRPr="003F544A" w:rsidTr="00634F8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European Commission for Democracy Through Law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(Venice Commission)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CONSTITUTIONAL PROVISIONS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ON THE PROSECUTION SERVICE</w:t>
            </w:r>
            <w:r w:rsidRPr="003F544A">
              <w:rPr>
                <w:rFonts w:ascii="Tahoma" w:hAnsi="Tahoma" w:cs="Tahoma"/>
                <w:sz w:val="22"/>
              </w:rPr>
              <w:t xml:space="preserve"> </w:t>
            </w:r>
            <w:r w:rsidRPr="003F544A">
              <w:rPr>
                <w:rFonts w:ascii="Tahoma" w:hAnsi="Tahoma" w:cs="Tahoma"/>
                <w:sz w:val="22"/>
              </w:rPr>
              <w:t>IN COUNCIL OF EUROPE MEMBER STATES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Constitutional Standards on Public Prosecutors (Venice Comm Report 2008) .coe.pdf</w:t>
            </w:r>
          </w:p>
        </w:tc>
      </w:tr>
      <w:tr w:rsidR="00FE08C6" w:rsidRPr="003F544A" w:rsidTr="00A54484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  <w:p w:rsidR="00FE08C6" w:rsidRPr="003F544A" w:rsidRDefault="00FE08C6" w:rsidP="00FE08C6">
            <w:pPr>
              <w:jc w:val="center"/>
              <w:rPr>
                <w:rFonts w:ascii="Tahoma" w:hAnsi="Tahoma" w:cs="Tahoma"/>
                <w:sz w:val="22"/>
                <w:lang w:val="uk-UA"/>
              </w:rPr>
            </w:pPr>
            <w:r w:rsidRPr="003F544A">
              <w:rPr>
                <w:rFonts w:ascii="Tahoma" w:hAnsi="Tahoma" w:cs="Tahoma"/>
                <w:sz w:val="22"/>
                <w:lang w:val="uk-UA"/>
              </w:rPr>
              <w:t>Інші документи консультативного характеру</w:t>
            </w:r>
          </w:p>
          <w:p w:rsidR="00FE08C6" w:rsidRPr="003F544A" w:rsidRDefault="00FE08C6">
            <w:pPr>
              <w:rPr>
                <w:rFonts w:ascii="Tahoma" w:hAnsi="Tahoma" w:cs="Tahoma"/>
                <w:sz w:val="22"/>
                <w:lang w:val="uk-UA"/>
              </w:rPr>
            </w:pPr>
          </w:p>
        </w:tc>
      </w:tr>
      <w:tr w:rsidR="007C4CC7" w:rsidRPr="003F544A" w:rsidTr="006544EA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Budapest Guidelines on Ethics for Public Prosecutors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CPGE_2005 (Budapest Guidelines on Ethics).pdf</w:t>
            </w:r>
          </w:p>
        </w:tc>
      </w:tr>
      <w:tr w:rsidR="007C4CC7" w:rsidRPr="003F544A" w:rsidTr="006544EA"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CC7" w:rsidRPr="003F544A" w:rsidRDefault="007C4C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 xml:space="preserve">UN </w:t>
            </w:r>
            <w:r w:rsidRPr="003F544A">
              <w:rPr>
                <w:rFonts w:ascii="Tahoma" w:hAnsi="Tahoma" w:cs="Tahoma"/>
                <w:sz w:val="22"/>
              </w:rPr>
              <w:t>Guidelines on the Role of Prosecutors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</w:tcPr>
          <w:p w:rsidR="007C4CC7" w:rsidRPr="003F544A" w:rsidRDefault="007C4CC7" w:rsidP="008206FC">
            <w:pPr>
              <w:rPr>
                <w:rFonts w:ascii="Tahoma" w:hAnsi="Tahoma" w:cs="Tahoma"/>
                <w:sz w:val="22"/>
              </w:rPr>
            </w:pPr>
            <w:r w:rsidRPr="003F544A">
              <w:rPr>
                <w:rFonts w:ascii="Tahoma" w:hAnsi="Tahoma" w:cs="Tahoma"/>
                <w:sz w:val="22"/>
              </w:rPr>
              <w:t>Guidelines on the Role of Prosecutors (1990).pdf</w:t>
            </w:r>
          </w:p>
        </w:tc>
      </w:tr>
    </w:tbl>
    <w:p w:rsidR="000D46E6" w:rsidRPr="003F544A" w:rsidRDefault="000D46E6">
      <w:pPr>
        <w:rPr>
          <w:rFonts w:ascii="Tahoma" w:hAnsi="Tahoma" w:cs="Tahoma"/>
          <w:sz w:val="22"/>
        </w:rPr>
      </w:pPr>
    </w:p>
    <w:p w:rsidR="000D46E6" w:rsidRPr="003F544A" w:rsidRDefault="000D46E6">
      <w:pPr>
        <w:rPr>
          <w:rFonts w:ascii="Tahoma" w:hAnsi="Tahoma" w:cs="Tahoma"/>
          <w:sz w:val="22"/>
        </w:rPr>
      </w:pPr>
    </w:p>
    <w:sectPr w:rsidR="000D46E6" w:rsidRPr="003F544A" w:rsidSect="000D46E6">
      <w:pgSz w:w="16838" w:h="11906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E6"/>
    <w:rsid w:val="00084924"/>
    <w:rsid w:val="000D46E6"/>
    <w:rsid w:val="00185048"/>
    <w:rsid w:val="001B08D4"/>
    <w:rsid w:val="001C2F8C"/>
    <w:rsid w:val="00286EC8"/>
    <w:rsid w:val="0029301A"/>
    <w:rsid w:val="002C6B84"/>
    <w:rsid w:val="003407E9"/>
    <w:rsid w:val="003906CD"/>
    <w:rsid w:val="003F4B26"/>
    <w:rsid w:val="003F544A"/>
    <w:rsid w:val="00535854"/>
    <w:rsid w:val="00553C38"/>
    <w:rsid w:val="005B0A73"/>
    <w:rsid w:val="005F367D"/>
    <w:rsid w:val="00634F8F"/>
    <w:rsid w:val="006544EA"/>
    <w:rsid w:val="006B20C0"/>
    <w:rsid w:val="007C4CC7"/>
    <w:rsid w:val="00901560"/>
    <w:rsid w:val="009B3920"/>
    <w:rsid w:val="00B05609"/>
    <w:rsid w:val="00B65BD1"/>
    <w:rsid w:val="00C6111C"/>
    <w:rsid w:val="00C614ED"/>
    <w:rsid w:val="00CD579E"/>
    <w:rsid w:val="00D066E6"/>
    <w:rsid w:val="00D14A15"/>
    <w:rsid w:val="00D93583"/>
    <w:rsid w:val="00DF3B7C"/>
    <w:rsid w:val="00E17960"/>
    <w:rsid w:val="00F01FD5"/>
    <w:rsid w:val="00FA7525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0C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0C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Peremot</dc:creator>
  <cp:lastModifiedBy>Serhiy Peremot</cp:lastModifiedBy>
  <cp:revision>29</cp:revision>
  <dcterms:created xsi:type="dcterms:W3CDTF">2013-10-15T08:42:00Z</dcterms:created>
  <dcterms:modified xsi:type="dcterms:W3CDTF">2013-10-15T12:09:00Z</dcterms:modified>
</cp:coreProperties>
</file>